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rFonts w:ascii="Nunito Sans" w:cs="Nunito Sans" w:eastAsia="Nunito Sans" w:hAnsi="Nunito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0"/>
        <w:tblGridChange w:id="0">
          <w:tblGrid>
            <w:gridCol w:w="9750"/>
          </w:tblGrid>
        </w:tblGridChange>
      </w:tblGrid>
      <w:tr>
        <w:trPr>
          <w:cantSplit w:val="0"/>
          <w:trHeight w:val="524.4000000000001" w:hRule="atLeast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  <w:rtl w:val="0"/>
              </w:rPr>
              <w:t xml:space="preserve">Must have рівень: 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Зроби порівняння статичних та динамічних технік тестування. Наведи переваги та можливі обмеження при використанні кожної з них.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9550.000000000002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183.333333333334"/>
              <w:gridCol w:w="3183.333333333334"/>
              <w:gridCol w:w="3183.333333333334"/>
              <w:tblGridChange w:id="0">
                <w:tblGrid>
                  <w:gridCol w:w="3183.333333333334"/>
                  <w:gridCol w:w="3183.333333333334"/>
                  <w:gridCol w:w="3183.333333333334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6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7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Статистична техніка тестування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Динамічна техніка тестування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Основна інформація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A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не вимагає запускати програму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B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передбачає запуск програми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C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  <w:rtl w:val="0"/>
                    </w:rPr>
                    <w:t xml:space="preserve">Перевага №1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D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усунення дефектів на ранньому етапі є більш ефективне ніж під час динамічного тестування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E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Виявлення складних помилок, які могли вислизнути на етапі код рев'ю.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F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  <w:rtl w:val="0"/>
                    </w:rPr>
                    <w:t xml:space="preserve">Перевага №2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скорочення витрат і часу на розробку та тестування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1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Динамічне тестування може бути автоматизовано за допомогою спеціальних інструментів.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2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d9ead3" w:val="clear"/>
                      <w:rtl w:val="0"/>
                    </w:rPr>
                    <w:t xml:space="preserve">Перевага №3 (і т.д.)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3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підвищення якості розробки, включно з покращенням дизайну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4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Процес динамічного тестування добре налагоджений, додаток тестується з точки зору користувача, що підвищує якість ПЗ.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5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  <w:rtl w:val="0"/>
                    </w:rPr>
                    <w:t xml:space="preserve">Обмеження №1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6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може займати багато часу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Висока вартість проведення тестування.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  <w:rtl w:val="0"/>
                    </w:rPr>
                    <w:t xml:space="preserve">Обмеження №2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9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в основному виконується вручну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A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Оскільки динамічне тестування являє собою складний процес, воно займає багато часу.</w:t>
                  </w:r>
                </w:p>
                <w:p w:rsidR="00000000" w:rsidDel="00000000" w:rsidP="00000000" w:rsidRDefault="00000000" w:rsidRPr="00000000" w14:paraId="0000001B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C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shd w:fill="f4cccc" w:val="clear"/>
                      <w:rtl w:val="0"/>
                    </w:rPr>
                    <w:t xml:space="preserve">Обмеження №3 (і т.д.)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D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Перешкоджає виявленню вразливостей, представлених в середовищі виконання.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E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Динамічне тестування зазвичай виконується після завершення кодування, і знайдені баги виявляються пізніше в життєвому циклі розробки.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F">
                  <w:pPr>
                    <w:widowControl w:val="0"/>
                    <w:spacing w:line="240" w:lineRule="auto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Висновок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метою статичного тестування запобігання дефектів ПЗ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1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Nunito Sans" w:cs="Nunito Sans" w:eastAsia="Nunito Sans" w:hAnsi="Nunito Sans"/>
                      <w:color w:val="3f3f3f"/>
                      <w:sz w:val="24"/>
                      <w:szCs w:val="24"/>
                      <w:rtl w:val="0"/>
                    </w:rPr>
                    <w:t xml:space="preserve">Головною ціллю динамічного тестування є пошук і усунення багів</w:t>
                  </w:r>
                </w:p>
              </w:tc>
            </w:tr>
          </w:tbl>
          <w:p w:rsidR="00000000" w:rsidDel="00000000" w:rsidP="00000000" w:rsidRDefault="00000000" w:rsidRPr="00000000" w14:paraId="00000022">
            <w:pPr>
              <w:widowControl w:val="0"/>
              <w:spacing w:after="240" w:before="240" w:line="240" w:lineRule="auto"/>
              <w:ind w:left="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  <w:rtl w:val="0"/>
              </w:rPr>
              <w:t xml:space="preserve">Середній рівень: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4"/>
              </w:numPr>
              <w:spacing w:after="0" w:before="240" w:line="240" w:lineRule="auto"/>
              <w:ind w:left="720" w:hanging="360"/>
              <w:rPr/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Виконай завдання попереднього рівня.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Наступне твердження стосується покриття рішень: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ind w:left="720" w:firstLine="0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Коли код має одну ‘IF” умову, не має циклів (LOOP)  або перемикачів (CASE), будь-який тест, який ми виконаємо, дасть результат 50% покриття рішень (decision coverage). 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firstLine="0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left="72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Яке твердження є коректним?</w:t>
            </w:r>
          </w:p>
          <w:p w:rsidR="00000000" w:rsidDel="00000000" w:rsidP="00000000" w:rsidRDefault="00000000" w:rsidRPr="00000000" w14:paraId="0000002A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Коректно. Будь-який тест кейс надає 100% покриття тверджень, таким чином покриває 50% рішень.</w:t>
            </w:r>
          </w:p>
          <w:p w:rsidR="00000000" w:rsidDel="00000000" w:rsidP="00000000" w:rsidRDefault="00000000" w:rsidRPr="00000000" w14:paraId="0000002B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  <w:rtl w:val="0"/>
              </w:rPr>
              <w:t xml:space="preserve">Коректно. Результат будь-якого тесту умови IF буде або правдими, або ні.</w:t>
            </w:r>
          </w:p>
          <w:p w:rsidR="00000000" w:rsidDel="00000000" w:rsidP="00000000" w:rsidRDefault="00000000" w:rsidRPr="00000000" w14:paraId="0000002C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Некоректно. Один тест може гарантувати 25% перевірки рішень в цьому випадку.</w:t>
            </w:r>
          </w:p>
          <w:p w:rsidR="00000000" w:rsidDel="00000000" w:rsidP="00000000" w:rsidRDefault="00000000" w:rsidRPr="00000000" w14:paraId="0000002D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Некоректно, бо занадто загальне твердження. Ми не можемо знати, чи є воно коректним, бо це залежить від тестованого ПЗ.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Є псевдокод: Switch PC on -&gt; Start MS Word -&gt; IF MS Word starts THEN -&gt; Write a poem -&gt; Close MS Word. 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720" w:firstLine="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Скільки тест кейсів знадобиться, щоб перевірити його функціонал? </w:t>
            </w:r>
          </w:p>
          <w:p w:rsidR="00000000" w:rsidDel="00000000" w:rsidP="00000000" w:rsidRDefault="00000000" w:rsidRPr="00000000" w14:paraId="00000032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  <w:rtl w:val="0"/>
              </w:rPr>
              <w:t xml:space="preserve">1 – для покриття операторів, 2 – для покриття рішень</w:t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1 – для покриття операторів, 1 – для покриття рішень</w:t>
            </w:r>
          </w:p>
          <w:p w:rsidR="00000000" w:rsidDel="00000000" w:rsidP="00000000" w:rsidRDefault="00000000" w:rsidRPr="00000000" w14:paraId="00000034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2 – для покриття операторів, 2 – для покриття рішень</w:t>
            </w:r>
          </w:p>
          <w:p w:rsidR="00000000" w:rsidDel="00000000" w:rsidP="00000000" w:rsidRDefault="00000000" w:rsidRPr="00000000" w14:paraId="00000035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2 – для покриття операторів, 1 – для покриття рішень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Скільки потрібно тестів для перевірки тверджень коду:    </w:t>
            </w: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  <w:drawing>
                <wp:inline distB="114300" distT="114300" distL="114300" distR="114300">
                  <wp:extent cx="1427480" cy="1725759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480" cy="1725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b w:val="1"/>
                <w:color w:val="3f3f3f"/>
                <w:sz w:val="24"/>
                <w:szCs w:val="24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3A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03B">
            <w:pPr>
              <w:widowControl w:val="0"/>
              <w:numPr>
                <w:ilvl w:val="1"/>
                <w:numId w:val="4"/>
              </w:numPr>
              <w:spacing w:line="240" w:lineRule="auto"/>
              <w:ind w:left="144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4</w:t>
            </w:r>
          </w:p>
        </w:tc>
      </w:tr>
      <w:tr>
        <w:trPr>
          <w:cantSplit w:val="0"/>
          <w:trHeight w:val="539.4000000000001" w:hRule="atLeast"/>
          <w:tblHeader w:val="0"/>
        </w:trPr>
        <w:tc>
          <w:tcPr>
            <w:tcBorders>
              <w:top w:color="666666" w:space="0" w:sz="8" w:val="single"/>
              <w:left w:color="666666" w:space="0" w:sz="8" w:val="single"/>
              <w:bottom w:color="666666" w:space="0" w:sz="8" w:val="single"/>
              <w:right w:color="66666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single"/>
                <w:rtl w:val="0"/>
              </w:rPr>
              <w:t xml:space="preserve">Програма максимум: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numPr>
                <w:ilvl w:val="0"/>
                <w:numId w:val="2"/>
              </w:numPr>
              <w:spacing w:after="0" w:before="240" w:line="240" w:lineRule="auto"/>
              <w:ind w:left="720" w:hanging="360"/>
              <w:rPr/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Виконай завдання двох попередніх рівнів.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Продовжуємо розвивати стартап для застосунку, який дозволяє обмінюватися фотографіями котиків.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Є алгоритм: 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Запитай, якого улюбленця має користувач. 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Якщо користувач відповість, що має кота, то запитай, яка порода його улюбленця: «короткошерста чи довгошерста?»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Якщо клієнт відповість «довгошерста», то запитай: «ви бажаєте отримати контакти найближчого грумера?»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Якщо клієнт відповість «так», то скажи: «Надайте адресу найближчої котячої перукарні»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Інакше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Скажи: «Запропонуй магазин з товарами по догляду за шерстю»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Закінчити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Інакше</w:t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Скажи «Запропонуй обрати магазин із зоотоварами»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Закінчити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Якщо клієнт не має кота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Скажи “Коли вирішите завести улюбленця – приходьте”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  <w:rtl w:val="0"/>
              </w:rPr>
              <w:t xml:space="preserve">Закінчити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i w:val="1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Завдання:</w:t>
            </w:r>
          </w:p>
          <w:p w:rsidR="00000000" w:rsidDel="00000000" w:rsidP="00000000" w:rsidRDefault="00000000" w:rsidRPr="00000000" w14:paraId="00000051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Намалюй схему алгоритму (в інструменті на вибір, наприклад, у вбудованому Google Docs редакторі, </w:t>
            </w:r>
            <w:hyperlink r:id="rId8">
              <w:r w:rsidDel="00000000" w:rsidR="00000000" w:rsidRPr="00000000">
                <w:rPr>
                  <w:rFonts w:ascii="Nunito Sans" w:cs="Nunito Sans" w:eastAsia="Nunito Sans" w:hAnsi="Nunito Sans"/>
                  <w:color w:val="1155cc"/>
                  <w:sz w:val="24"/>
                  <w:szCs w:val="24"/>
                  <w:u w:val="single"/>
                  <w:rtl w:val="0"/>
                </w:rPr>
                <w:t xml:space="preserve">figjam</w:t>
              </w:r>
            </w:hyperlink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 чи </w:t>
            </w:r>
            <w:hyperlink r:id="rId9">
              <w:r w:rsidDel="00000000" w:rsidR="00000000" w:rsidRPr="00000000">
                <w:rPr>
                  <w:rFonts w:ascii="Nunito Sans" w:cs="Nunito Sans" w:eastAsia="Nunito Sans" w:hAnsi="Nunito Sans"/>
                  <w:color w:val="1155cc"/>
                  <w:sz w:val="24"/>
                  <w:szCs w:val="24"/>
                  <w:u w:val="single"/>
                  <w:rtl w:val="0"/>
                </w:rPr>
                <w:t xml:space="preserve">miro</w:t>
              </w:r>
            </w:hyperlink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Який потрібен мінімальний набір тест-кейсів, щоб переконатися, що всі запитання були поставлені, всі комбінації були пройдені та всі відповіді були отримані?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Загальний мінімальний набір тест-кейсів буде - 8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Для Statement coverage буде - 3 тести, тому що маємо два варіанти ‘else’ і щоб покрити усі твердження їх потрібно врахувати.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Nunito Sans" w:cs="Nunito Sans" w:eastAsia="Nunito Sans" w:hAnsi="Nunito Sans"/>
                <w:color w:val="3f3f3f"/>
                <w:sz w:val="24"/>
                <w:szCs w:val="24"/>
              </w:rPr>
            </w:pPr>
            <w:r w:rsidDel="00000000" w:rsidR="00000000" w:rsidRPr="00000000">
              <w:rPr>
                <w:rFonts w:ascii="Nunito Sans" w:cs="Nunito Sans" w:eastAsia="Nunito Sans" w:hAnsi="Nunito Sans"/>
                <w:color w:val="3f3f3f"/>
                <w:sz w:val="24"/>
                <w:szCs w:val="24"/>
                <w:rtl w:val="0"/>
              </w:rPr>
              <w:t xml:space="preserve">Для Decision coverage буде - 5 тестів, тому що для покриття рішень нам потрібно врахувати усі можливі варіанти “if”, щоб бути впевненими, що усі можливі варіанти покриті.</w:t>
            </w:r>
          </w:p>
        </w:tc>
      </w:tr>
    </w:tbl>
    <w:p w:rsidR="00000000" w:rsidDel="00000000" w:rsidP="00000000" w:rsidRDefault="00000000" w:rsidRPr="00000000" w14:paraId="00000056">
      <w:pPr>
        <w:spacing w:line="360" w:lineRule="auto"/>
        <w:ind w:right="0"/>
        <w:rPr>
          <w:rFonts w:ascii="Nunito Sans" w:cs="Nunito Sans" w:eastAsia="Nunito Sans" w:hAnsi="Nunito Sans"/>
        </w:rPr>
      </w:pPr>
      <w:r w:rsidDel="00000000" w:rsidR="00000000" w:rsidRPr="00000000">
        <w:rPr>
          <w:rFonts w:ascii="Nunito Sans" w:cs="Nunito Sans" w:eastAsia="Nunito Sans" w:hAnsi="Nunito Sans"/>
        </w:rPr>
        <w:drawing>
          <wp:inline distB="114300" distT="114300" distL="114300" distR="114300">
            <wp:extent cx="4955368" cy="599253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368" cy="599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right="0"/>
        <w:rPr>
          <w:rFonts w:ascii="Nunito Sans" w:cs="Nunito Sans" w:eastAsia="Nunito Sans" w:hAnsi="Nuni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right="0"/>
        <w:rPr>
          <w:rFonts w:ascii="Nunito Sans" w:cs="Nunito Sans" w:eastAsia="Nunito Sans" w:hAnsi="Nuni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ind w:right="0"/>
        <w:rPr>
          <w:rFonts w:ascii="Nunito Sans" w:cs="Nunito Sans" w:eastAsia="Nunito Sans" w:hAnsi="Nunito Sans"/>
        </w:rPr>
      </w:pPr>
      <w:r w:rsidDel="00000000" w:rsidR="00000000" w:rsidRPr="00000000">
        <w:rPr>
          <w:rFonts w:ascii="Nunito Sans" w:cs="Nunito Sans" w:eastAsia="Nunito Sans" w:hAnsi="Nunito Sans"/>
          <w:rtl w:val="0"/>
        </w:rPr>
        <w:t xml:space="preserve">Правильна відповідь 4 кейси</w:t>
      </w:r>
    </w:p>
    <w:p w:rsidR="00000000" w:rsidDel="00000000" w:rsidP="00000000" w:rsidRDefault="00000000" w:rsidRPr="00000000" w14:paraId="0000005A">
      <w:pPr>
        <w:spacing w:line="360" w:lineRule="auto"/>
        <w:ind w:right="0"/>
        <w:rPr>
          <w:rFonts w:ascii="Nunito Sans" w:cs="Nunito Sans" w:eastAsia="Nunito Sans" w:hAnsi="Nunito Sans"/>
        </w:rPr>
      </w:pPr>
      <w:r w:rsidDel="00000000" w:rsidR="00000000" w:rsidRPr="00000000">
        <w:rPr>
          <w:rFonts w:ascii="Nunito Sans" w:cs="Nunito Sans" w:eastAsia="Nunito Sans" w:hAnsi="Nunito Sans"/>
        </w:rPr>
        <w:drawing>
          <wp:inline distB="114300" distT="114300" distL="114300" distR="114300">
            <wp:extent cx="5731200" cy="5753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uni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spacing w:line="276" w:lineRule="auto"/>
      <w:jc w:val="right"/>
      <w:rPr/>
    </w:pPr>
    <w:r w:rsidDel="00000000" w:rsidR="00000000" w:rsidRPr="00000000">
      <w:rPr/>
      <w:drawing>
        <wp:inline distB="114300" distT="114300" distL="114300" distR="114300">
          <wp:extent cx="1176338" cy="476368"/>
          <wp:effectExtent b="0" l="0" r="0" t="0"/>
          <wp:docPr id="5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76338" cy="47636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2" Type="http://schemas.openxmlformats.org/officeDocument/2006/relationships/header" Target="header1.xml"/><Relationship Id="rId9" Type="http://schemas.openxmlformats.org/officeDocument/2006/relationships/hyperlink" Target="https://miro.com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hyperlink" Target="https://www.figma.com/figja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Sans-regular.ttf"/><Relationship Id="rId2" Type="http://schemas.openxmlformats.org/officeDocument/2006/relationships/font" Target="fonts/NunitoSans-bold.ttf"/><Relationship Id="rId3" Type="http://schemas.openxmlformats.org/officeDocument/2006/relationships/font" Target="fonts/NunitoSans-italic.ttf"/><Relationship Id="rId4" Type="http://schemas.openxmlformats.org/officeDocument/2006/relationships/font" Target="fonts/Nunito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Qu3QGNnNuzfPN6u0Y2ZX/XLiEg==">AMUW2mVzMXI3aIukV80X0nqSXRhbGlxGgYkf3xiMFb94LF7TvIne1vFQKTPD1Xhh5pKYKqsvnRHMZGCVrHLADOaGAPybJY+X6mOBtCDyHBQvoeukYZF53A3RnL40KrsV/2XK8/1J/0MWzjKT7DQC9Y1lMl8aA/EgooGZvbcpJ3Lz/EqxASGpoDc=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